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973" w:rsidRDefault="00860973" w:rsidP="00860973">
      <w:pPr>
        <w:widowControl w:val="0"/>
        <w:autoSpaceDE w:val="0"/>
        <w:autoSpaceDN w:val="0"/>
        <w:adjustRightInd w:val="0"/>
        <w:spacing w:before="34"/>
        <w:ind w:left="3673" w:right="3653"/>
        <w:jc w:val="center"/>
        <w:rPr>
          <w:color w:val="000000"/>
          <w:sz w:val="20"/>
          <w:szCs w:val="20"/>
        </w:rPr>
      </w:pPr>
      <w:r>
        <w:rPr>
          <w:color w:val="2E2014"/>
          <w:sz w:val="20"/>
          <w:szCs w:val="20"/>
        </w:rPr>
        <w:t>INFORMACJA DODATKOWA</w:t>
      </w:r>
    </w:p>
    <w:p w:rsidR="00860973" w:rsidRDefault="00860973" w:rsidP="00860973">
      <w:pPr>
        <w:widowControl w:val="0"/>
        <w:autoSpaceDE w:val="0"/>
        <w:autoSpaceDN w:val="0"/>
        <w:adjustRightInd w:val="0"/>
        <w:spacing w:before="17" w:line="260" w:lineRule="exact"/>
        <w:rPr>
          <w:color w:val="000000"/>
          <w:sz w:val="26"/>
          <w:szCs w:val="26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680"/>
        <w:gridCol w:w="9170"/>
      </w:tblGrid>
      <w:tr w:rsidR="00860973" w:rsidTr="00EA6C64">
        <w:trPr>
          <w:trHeight w:hRule="exact" w:val="397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72"/>
              <w:ind w:left="95" w:right="-20"/>
            </w:pPr>
            <w:r>
              <w:rPr>
                <w:b/>
                <w:bCs/>
                <w:color w:val="2E2014"/>
                <w:sz w:val="20"/>
                <w:szCs w:val="20"/>
              </w:rPr>
              <w:t>I.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72"/>
              <w:ind w:left="95" w:right="-20"/>
            </w:pPr>
            <w:r>
              <w:rPr>
                <w:b/>
                <w:bCs/>
                <w:color w:val="2E2014"/>
                <w:sz w:val="20"/>
                <w:szCs w:val="20"/>
              </w:rPr>
              <w:t>Wprowadzenie do sprawozdania finansowego, obejmuje w szczególności:</w:t>
            </w:r>
          </w:p>
        </w:tc>
      </w:tr>
      <w:tr w:rsidR="00860973" w:rsidTr="00EA6C64">
        <w:trPr>
          <w:trHeight w:hRule="exact" w:val="365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</w:pPr>
            <w:r>
              <w:rPr>
                <w:color w:val="2E2014"/>
                <w:sz w:val="20"/>
                <w:szCs w:val="20"/>
              </w:rPr>
              <w:t>1.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60973" w:rsidTr="00EA6C64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</w:pPr>
            <w:r>
              <w:rPr>
                <w:color w:val="2E2014"/>
                <w:sz w:val="20"/>
                <w:szCs w:val="20"/>
              </w:rPr>
              <w:t>1.1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</w:pPr>
            <w:r>
              <w:rPr>
                <w:color w:val="2E2014"/>
                <w:sz w:val="20"/>
                <w:szCs w:val="20"/>
              </w:rPr>
              <w:t>nazwę jednostki</w:t>
            </w:r>
          </w:p>
        </w:tc>
      </w:tr>
      <w:tr w:rsidR="00860973" w:rsidTr="00EA6C64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Pr="002537B0" w:rsidRDefault="00860973" w:rsidP="00EA6C6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2537B0">
              <w:rPr>
                <w:b/>
              </w:rPr>
              <w:t>Liceum Ogólnokształcące w Krośniewicach</w:t>
            </w:r>
          </w:p>
        </w:tc>
      </w:tr>
      <w:tr w:rsidR="00860973" w:rsidTr="00EA6C64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</w:pPr>
            <w:r>
              <w:rPr>
                <w:color w:val="2E2014"/>
                <w:sz w:val="20"/>
                <w:szCs w:val="20"/>
              </w:rPr>
              <w:t>1.2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</w:pPr>
            <w:r>
              <w:rPr>
                <w:color w:val="2E2014"/>
                <w:sz w:val="20"/>
                <w:szCs w:val="20"/>
              </w:rPr>
              <w:t>siedzibę jednostki</w:t>
            </w:r>
          </w:p>
        </w:tc>
      </w:tr>
      <w:tr w:rsidR="00860973" w:rsidTr="00EA6C64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Pr="002537B0" w:rsidRDefault="00860973" w:rsidP="00EA6C6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2537B0">
              <w:rPr>
                <w:b/>
              </w:rPr>
              <w:t>ul. Łęczycka 17, 99-340 Krośniewice</w:t>
            </w:r>
          </w:p>
        </w:tc>
      </w:tr>
      <w:tr w:rsidR="00860973" w:rsidTr="00EA6C64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</w:pPr>
            <w:r>
              <w:rPr>
                <w:color w:val="2E2014"/>
                <w:sz w:val="20"/>
                <w:szCs w:val="20"/>
              </w:rPr>
              <w:t>1.3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</w:pPr>
            <w:r>
              <w:rPr>
                <w:color w:val="2E2014"/>
                <w:sz w:val="20"/>
                <w:szCs w:val="20"/>
              </w:rPr>
              <w:t>adres jednostki</w:t>
            </w:r>
          </w:p>
        </w:tc>
      </w:tr>
      <w:tr w:rsidR="00860973" w:rsidTr="00EA6C64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Pr="002537B0" w:rsidRDefault="00860973" w:rsidP="00EA6C6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2537B0">
              <w:rPr>
                <w:b/>
              </w:rPr>
              <w:t>ul. Łęczycka 17, 99-340 Krośniewice</w:t>
            </w:r>
          </w:p>
        </w:tc>
      </w:tr>
      <w:tr w:rsidR="00860973" w:rsidTr="00EA6C64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</w:pPr>
            <w:r>
              <w:rPr>
                <w:color w:val="2E2014"/>
                <w:sz w:val="20"/>
                <w:szCs w:val="20"/>
              </w:rPr>
              <w:t>1.4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</w:pPr>
            <w:r>
              <w:rPr>
                <w:color w:val="2E2014"/>
                <w:sz w:val="20"/>
                <w:szCs w:val="20"/>
              </w:rPr>
              <w:t>podstawowy przedmiot działalności jednostki</w:t>
            </w:r>
          </w:p>
        </w:tc>
      </w:tr>
      <w:tr w:rsidR="00860973" w:rsidTr="00EA6C64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Pr="002537B0" w:rsidRDefault="00860973" w:rsidP="00EA6C6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2537B0">
              <w:rPr>
                <w:b/>
              </w:rPr>
              <w:t>Edukacja</w:t>
            </w:r>
          </w:p>
        </w:tc>
      </w:tr>
      <w:tr w:rsidR="00860973" w:rsidTr="00EA6C64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</w:pPr>
            <w:r>
              <w:rPr>
                <w:color w:val="2E2014"/>
                <w:sz w:val="20"/>
                <w:szCs w:val="20"/>
              </w:rPr>
              <w:t>2.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</w:pPr>
            <w:r>
              <w:rPr>
                <w:color w:val="2E2014"/>
                <w:sz w:val="20"/>
                <w:szCs w:val="20"/>
              </w:rPr>
              <w:t>wskazanie okresu objętego sprawozdaniem</w:t>
            </w:r>
          </w:p>
        </w:tc>
      </w:tr>
      <w:tr w:rsidR="00860973" w:rsidTr="00EA6C64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Pr="002537B0" w:rsidRDefault="00860973" w:rsidP="00EA6C6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2537B0">
              <w:rPr>
                <w:b/>
              </w:rPr>
              <w:t>Sprawozdanie za okres od 01.01.202</w:t>
            </w:r>
            <w:r>
              <w:rPr>
                <w:b/>
              </w:rPr>
              <w:t>4</w:t>
            </w:r>
            <w:r w:rsidRPr="002537B0">
              <w:rPr>
                <w:b/>
              </w:rPr>
              <w:t>r. do 31.12.202</w:t>
            </w:r>
            <w:r>
              <w:rPr>
                <w:b/>
              </w:rPr>
              <w:t>4</w:t>
            </w:r>
            <w:r w:rsidRPr="002537B0">
              <w:rPr>
                <w:b/>
              </w:rPr>
              <w:t>r.</w:t>
            </w:r>
          </w:p>
        </w:tc>
      </w:tr>
      <w:tr w:rsidR="00860973" w:rsidTr="00EA6C64">
        <w:trPr>
          <w:trHeight w:hRule="exact" w:val="340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</w:pPr>
            <w:r>
              <w:rPr>
                <w:color w:val="2E2014"/>
                <w:sz w:val="20"/>
                <w:szCs w:val="20"/>
              </w:rPr>
              <w:t>3.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6" w:line="250" w:lineRule="auto"/>
              <w:ind w:left="95" w:right="40"/>
            </w:pPr>
            <w:r>
              <w:rPr>
                <w:color w:val="2E2014"/>
                <w:sz w:val="20"/>
                <w:szCs w:val="20"/>
              </w:rPr>
              <w:t>wskazanie,</w:t>
            </w:r>
            <w:r>
              <w:rPr>
                <w:color w:val="2E2014"/>
                <w:spacing w:val="13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że</w:t>
            </w:r>
            <w:r>
              <w:rPr>
                <w:color w:val="2E2014"/>
                <w:spacing w:val="13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sprawozdanie</w:t>
            </w:r>
            <w:r>
              <w:rPr>
                <w:color w:val="2E2014"/>
                <w:spacing w:val="13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finansowe</w:t>
            </w:r>
            <w:r>
              <w:rPr>
                <w:color w:val="2E2014"/>
                <w:spacing w:val="13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zawiera</w:t>
            </w:r>
            <w:r>
              <w:rPr>
                <w:color w:val="2E2014"/>
                <w:spacing w:val="13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dane</w:t>
            </w:r>
            <w:r>
              <w:rPr>
                <w:color w:val="2E2014"/>
                <w:spacing w:val="13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łączne</w:t>
            </w:r>
          </w:p>
        </w:tc>
      </w:tr>
      <w:tr w:rsidR="00860973" w:rsidTr="00EA6C64">
        <w:trPr>
          <w:trHeight w:hRule="exact" w:val="365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</w:pPr>
            <w:r>
              <w:t>Nie dotyczy</w:t>
            </w:r>
          </w:p>
        </w:tc>
      </w:tr>
      <w:tr w:rsidR="00860973" w:rsidTr="00EA6C64">
        <w:trPr>
          <w:trHeight w:hRule="exact" w:val="58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</w:pPr>
            <w:r>
              <w:rPr>
                <w:color w:val="2E2014"/>
                <w:sz w:val="20"/>
                <w:szCs w:val="20"/>
              </w:rPr>
              <w:t>4.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6" w:line="250" w:lineRule="auto"/>
              <w:ind w:left="95" w:right="40"/>
            </w:pPr>
            <w:r>
              <w:rPr>
                <w:color w:val="2E2014"/>
                <w:sz w:val="20"/>
                <w:szCs w:val="20"/>
              </w:rPr>
              <w:t>omówienie</w:t>
            </w:r>
            <w:r>
              <w:rPr>
                <w:color w:val="2E2014"/>
                <w:spacing w:val="47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przyjętych</w:t>
            </w:r>
            <w:r>
              <w:rPr>
                <w:color w:val="2E2014"/>
                <w:spacing w:val="47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zasad</w:t>
            </w:r>
            <w:r>
              <w:rPr>
                <w:color w:val="2E2014"/>
                <w:spacing w:val="47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(polityki)</w:t>
            </w:r>
            <w:r>
              <w:rPr>
                <w:color w:val="2E2014"/>
                <w:spacing w:val="47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rachunkowości,</w:t>
            </w:r>
            <w:r>
              <w:rPr>
                <w:color w:val="2E2014"/>
                <w:spacing w:val="47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w</w:t>
            </w:r>
            <w:r>
              <w:rPr>
                <w:color w:val="2E2014"/>
                <w:spacing w:val="47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tym</w:t>
            </w:r>
            <w:r>
              <w:rPr>
                <w:color w:val="2E2014"/>
                <w:spacing w:val="47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metod</w:t>
            </w:r>
            <w:r>
              <w:rPr>
                <w:color w:val="2E2014"/>
                <w:spacing w:val="47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wyceny</w:t>
            </w:r>
            <w:r>
              <w:rPr>
                <w:color w:val="2E2014"/>
                <w:spacing w:val="47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aktywów</w:t>
            </w:r>
            <w:r>
              <w:rPr>
                <w:color w:val="2E2014"/>
                <w:spacing w:val="47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i</w:t>
            </w:r>
            <w:r>
              <w:rPr>
                <w:color w:val="2E2014"/>
                <w:spacing w:val="47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pasywów</w:t>
            </w:r>
            <w:r>
              <w:rPr>
                <w:color w:val="2E2014"/>
                <w:spacing w:val="47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(także amortyzacji)</w:t>
            </w:r>
          </w:p>
        </w:tc>
      </w:tr>
      <w:tr w:rsidR="00860973" w:rsidTr="00EA6C64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Pr="002537B0" w:rsidRDefault="00860973" w:rsidP="00EA6C6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2537B0">
              <w:rPr>
                <w:b/>
              </w:rPr>
              <w:t>Załącznik nr 1</w:t>
            </w:r>
          </w:p>
        </w:tc>
      </w:tr>
      <w:tr w:rsidR="00860973" w:rsidTr="00EA6C64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</w:pPr>
            <w:r>
              <w:rPr>
                <w:color w:val="2E2014"/>
                <w:sz w:val="20"/>
                <w:szCs w:val="20"/>
              </w:rPr>
              <w:t>5.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</w:pPr>
            <w:r>
              <w:rPr>
                <w:color w:val="2E2014"/>
                <w:sz w:val="20"/>
                <w:szCs w:val="20"/>
              </w:rPr>
              <w:t>inne informacje</w:t>
            </w:r>
          </w:p>
        </w:tc>
      </w:tr>
      <w:tr w:rsidR="00860973" w:rsidTr="00EA6C64">
        <w:trPr>
          <w:trHeight w:hRule="exact" w:val="645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Pr="00754660" w:rsidRDefault="00860973" w:rsidP="00EA6C64">
            <w:pPr>
              <w:widowControl w:val="0"/>
              <w:autoSpaceDE w:val="0"/>
              <w:autoSpaceDN w:val="0"/>
              <w:jc w:val="both"/>
            </w:pPr>
            <w:r>
              <w:t>Nie dotyczy</w:t>
            </w:r>
          </w:p>
        </w:tc>
      </w:tr>
      <w:tr w:rsidR="00860973" w:rsidTr="00EA6C64">
        <w:trPr>
          <w:trHeight w:hRule="exact" w:val="397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72"/>
              <w:ind w:left="95" w:right="-20"/>
            </w:pPr>
            <w:r>
              <w:rPr>
                <w:b/>
                <w:bCs/>
                <w:color w:val="2E2014"/>
                <w:sz w:val="20"/>
                <w:szCs w:val="20"/>
              </w:rPr>
              <w:t>II.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72"/>
              <w:ind w:left="95" w:right="-20"/>
            </w:pPr>
            <w:r>
              <w:rPr>
                <w:b/>
                <w:bCs/>
                <w:color w:val="2E2014"/>
                <w:sz w:val="20"/>
                <w:szCs w:val="20"/>
              </w:rPr>
              <w:t>Dodatkowe informacje i objaśnienia obejmują w szczególności:</w:t>
            </w:r>
          </w:p>
        </w:tc>
      </w:tr>
      <w:tr w:rsidR="00860973" w:rsidTr="00EA6C64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</w:pPr>
            <w:r>
              <w:rPr>
                <w:color w:val="2E2014"/>
                <w:sz w:val="20"/>
                <w:szCs w:val="20"/>
              </w:rPr>
              <w:t>1.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60973" w:rsidTr="00EA6C64">
        <w:trPr>
          <w:trHeight w:hRule="exact" w:val="106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</w:pPr>
            <w:r>
              <w:rPr>
                <w:color w:val="2E2014"/>
                <w:sz w:val="20"/>
                <w:szCs w:val="20"/>
              </w:rPr>
              <w:t>1.1.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left="95" w:right="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2E2014"/>
                <w:sz w:val="20"/>
                <w:szCs w:val="20"/>
              </w:rPr>
              <w:t>szczegółowy</w:t>
            </w:r>
            <w:r>
              <w:rPr>
                <w:color w:val="2E2014"/>
                <w:spacing w:val="1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zakres</w:t>
            </w:r>
            <w:r>
              <w:rPr>
                <w:color w:val="2E2014"/>
                <w:spacing w:val="1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zmian</w:t>
            </w:r>
            <w:r>
              <w:rPr>
                <w:color w:val="2E2014"/>
                <w:spacing w:val="1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wartości</w:t>
            </w:r>
            <w:r>
              <w:rPr>
                <w:color w:val="2E2014"/>
                <w:spacing w:val="1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grup</w:t>
            </w:r>
            <w:r>
              <w:rPr>
                <w:color w:val="2E2014"/>
                <w:spacing w:val="1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rodzajowych</w:t>
            </w:r>
            <w:r>
              <w:rPr>
                <w:color w:val="2E2014"/>
                <w:spacing w:val="1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środków</w:t>
            </w:r>
            <w:r>
              <w:rPr>
                <w:color w:val="2E2014"/>
                <w:spacing w:val="1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trwałych,</w:t>
            </w:r>
            <w:r>
              <w:rPr>
                <w:color w:val="2E2014"/>
                <w:spacing w:val="1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wartości</w:t>
            </w:r>
            <w:r>
              <w:rPr>
                <w:color w:val="2E2014"/>
                <w:spacing w:val="1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niematerialnych i prawnych, zawierający stan tych aktywów na początek roku obrotowego, zwiększenia i zmniejszenia z tytułu: aktualizacji wartości,</w:t>
            </w:r>
            <w:r>
              <w:rPr>
                <w:color w:val="2E2014"/>
                <w:spacing w:val="-6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nabycia,</w:t>
            </w:r>
            <w:r>
              <w:rPr>
                <w:color w:val="2E2014"/>
                <w:spacing w:val="-6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rozchodu,</w:t>
            </w:r>
            <w:r>
              <w:rPr>
                <w:color w:val="2E2014"/>
                <w:spacing w:val="-6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przemieszczenia</w:t>
            </w:r>
            <w:r>
              <w:rPr>
                <w:color w:val="2E2014"/>
                <w:spacing w:val="-7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wewnętrznego</w:t>
            </w:r>
            <w:r>
              <w:rPr>
                <w:color w:val="2E2014"/>
                <w:spacing w:val="-6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oraz</w:t>
            </w:r>
            <w:r>
              <w:rPr>
                <w:color w:val="2E2014"/>
                <w:spacing w:val="-6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stan</w:t>
            </w:r>
            <w:r>
              <w:rPr>
                <w:color w:val="2E2014"/>
                <w:spacing w:val="-6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końcowy,</w:t>
            </w:r>
            <w:r>
              <w:rPr>
                <w:color w:val="2E2014"/>
                <w:spacing w:val="-6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a</w:t>
            </w:r>
            <w:r>
              <w:rPr>
                <w:color w:val="2E2014"/>
                <w:spacing w:val="-7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dla</w:t>
            </w:r>
            <w:r>
              <w:rPr>
                <w:color w:val="2E2014"/>
                <w:spacing w:val="-6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majątku</w:t>
            </w:r>
            <w:r>
              <w:rPr>
                <w:color w:val="2E2014"/>
                <w:spacing w:val="-7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amortyzowanego</w:t>
            </w:r>
          </w:p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ind w:left="95" w:right="1478"/>
              <w:jc w:val="both"/>
            </w:pPr>
            <w:r>
              <w:rPr>
                <w:color w:val="2E2014"/>
                <w:sz w:val="20"/>
                <w:szCs w:val="20"/>
              </w:rPr>
              <w:t>– podobne przedstawienie stanów i tytułów zmian dotychczasowej amortyzacji lub umorzenia</w:t>
            </w:r>
          </w:p>
        </w:tc>
      </w:tr>
      <w:tr w:rsidR="00860973" w:rsidTr="00EA6C64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Pr="002537B0" w:rsidRDefault="00860973" w:rsidP="00EA6C6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2537B0">
              <w:rPr>
                <w:b/>
              </w:rPr>
              <w:t>Tabela 1 i Tabela 1a</w:t>
            </w:r>
          </w:p>
        </w:tc>
      </w:tr>
      <w:tr w:rsidR="00860973" w:rsidTr="00EA6C64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</w:pPr>
            <w:r>
              <w:rPr>
                <w:color w:val="2E2014"/>
                <w:sz w:val="20"/>
                <w:szCs w:val="20"/>
              </w:rPr>
              <w:t>1.2.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</w:pPr>
            <w:r>
              <w:rPr>
                <w:color w:val="2E2014"/>
                <w:sz w:val="20"/>
                <w:szCs w:val="20"/>
              </w:rPr>
              <w:t>aktualną</w:t>
            </w:r>
            <w:r>
              <w:rPr>
                <w:color w:val="2E2014"/>
                <w:spacing w:val="-13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wartość</w:t>
            </w:r>
            <w:r>
              <w:rPr>
                <w:color w:val="2E2014"/>
                <w:spacing w:val="-13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rynkową</w:t>
            </w:r>
            <w:r>
              <w:rPr>
                <w:color w:val="2E2014"/>
                <w:spacing w:val="-13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środków</w:t>
            </w:r>
            <w:r>
              <w:rPr>
                <w:color w:val="2E2014"/>
                <w:spacing w:val="-13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trwałych,</w:t>
            </w:r>
            <w:r>
              <w:rPr>
                <w:color w:val="2E2014"/>
                <w:spacing w:val="-13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w</w:t>
            </w:r>
            <w:r>
              <w:rPr>
                <w:color w:val="2E2014"/>
                <w:spacing w:val="-13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tym</w:t>
            </w:r>
            <w:r>
              <w:rPr>
                <w:color w:val="2E2014"/>
                <w:spacing w:val="-13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dóbr</w:t>
            </w:r>
            <w:r>
              <w:rPr>
                <w:color w:val="2E2014"/>
                <w:spacing w:val="-13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kultury</w:t>
            </w:r>
            <w:r>
              <w:rPr>
                <w:color w:val="2E2014"/>
                <w:spacing w:val="-13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–</w:t>
            </w:r>
            <w:r>
              <w:rPr>
                <w:color w:val="2E2014"/>
                <w:spacing w:val="-13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o</w:t>
            </w:r>
            <w:r>
              <w:rPr>
                <w:color w:val="2E2014"/>
                <w:spacing w:val="-13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ile</w:t>
            </w:r>
            <w:r>
              <w:rPr>
                <w:color w:val="2E2014"/>
                <w:spacing w:val="-13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jednostka</w:t>
            </w:r>
            <w:r>
              <w:rPr>
                <w:color w:val="2E2014"/>
                <w:spacing w:val="-13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dysponuje</w:t>
            </w:r>
            <w:r>
              <w:rPr>
                <w:color w:val="2E2014"/>
                <w:spacing w:val="-13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takimi</w:t>
            </w:r>
            <w:r>
              <w:rPr>
                <w:color w:val="2E2014"/>
                <w:spacing w:val="-13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informacjami</w:t>
            </w:r>
          </w:p>
        </w:tc>
      </w:tr>
      <w:tr w:rsidR="00860973" w:rsidTr="00EA6C64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</w:pPr>
            <w:r>
              <w:t>Brak danych</w:t>
            </w:r>
          </w:p>
        </w:tc>
      </w:tr>
      <w:tr w:rsidR="00860973" w:rsidTr="00EA6C64">
        <w:trPr>
          <w:trHeight w:hRule="exact" w:val="58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</w:pPr>
            <w:r>
              <w:rPr>
                <w:color w:val="2E2014"/>
                <w:sz w:val="20"/>
                <w:szCs w:val="20"/>
              </w:rPr>
              <w:t>1.3.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left="95" w:right="40"/>
            </w:pPr>
            <w:r>
              <w:rPr>
                <w:color w:val="2E2014"/>
                <w:sz w:val="20"/>
                <w:szCs w:val="20"/>
              </w:rPr>
              <w:t>kwotę</w:t>
            </w:r>
            <w:r>
              <w:rPr>
                <w:color w:val="2E2014"/>
                <w:spacing w:val="-4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dokonanych</w:t>
            </w:r>
            <w:r>
              <w:rPr>
                <w:color w:val="2E2014"/>
                <w:spacing w:val="-4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w</w:t>
            </w:r>
            <w:r>
              <w:rPr>
                <w:color w:val="2E2014"/>
                <w:spacing w:val="-4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trakcie</w:t>
            </w:r>
            <w:r>
              <w:rPr>
                <w:color w:val="2E2014"/>
                <w:spacing w:val="-4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roku</w:t>
            </w:r>
            <w:r>
              <w:rPr>
                <w:color w:val="2E2014"/>
                <w:spacing w:val="-4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obrotowego</w:t>
            </w:r>
            <w:r>
              <w:rPr>
                <w:color w:val="2E2014"/>
                <w:spacing w:val="-4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odpisów</w:t>
            </w:r>
            <w:r>
              <w:rPr>
                <w:color w:val="2E2014"/>
                <w:spacing w:val="-4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aktualizujących</w:t>
            </w:r>
            <w:r>
              <w:rPr>
                <w:color w:val="2E2014"/>
                <w:spacing w:val="-4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wartość</w:t>
            </w:r>
            <w:r>
              <w:rPr>
                <w:color w:val="2E2014"/>
                <w:spacing w:val="-4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aktywów</w:t>
            </w:r>
            <w:r>
              <w:rPr>
                <w:color w:val="2E2014"/>
                <w:spacing w:val="-4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trwałych</w:t>
            </w:r>
            <w:r>
              <w:rPr>
                <w:color w:val="2E2014"/>
                <w:spacing w:val="-4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odrębnie</w:t>
            </w:r>
            <w:r>
              <w:rPr>
                <w:color w:val="2E2014"/>
                <w:spacing w:val="-4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dla długoterminowych aktywów niefinansowych oraz długoterminowych aktywów finansowych</w:t>
            </w:r>
          </w:p>
        </w:tc>
      </w:tr>
      <w:tr w:rsidR="00860973" w:rsidTr="00EA6C64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</w:pPr>
            <w:r>
              <w:t>Nie dotyczy</w:t>
            </w:r>
          </w:p>
        </w:tc>
      </w:tr>
      <w:tr w:rsidR="00860973" w:rsidTr="00EA6C64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</w:pPr>
            <w:r>
              <w:rPr>
                <w:color w:val="2E2014"/>
                <w:sz w:val="20"/>
                <w:szCs w:val="20"/>
              </w:rPr>
              <w:t>1.4.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</w:pPr>
            <w:r>
              <w:rPr>
                <w:color w:val="2E2014"/>
                <w:sz w:val="20"/>
                <w:szCs w:val="20"/>
              </w:rPr>
              <w:t>wartość gruntów użytkowanych wieczyście</w:t>
            </w:r>
          </w:p>
        </w:tc>
      </w:tr>
      <w:tr w:rsidR="00860973" w:rsidTr="00EA6C64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</w:pPr>
            <w:r>
              <w:t>Nie dotyczy</w:t>
            </w:r>
          </w:p>
        </w:tc>
      </w:tr>
      <w:tr w:rsidR="00860973" w:rsidTr="00EA6C64">
        <w:trPr>
          <w:trHeight w:hRule="exact" w:val="58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</w:pPr>
            <w:r>
              <w:rPr>
                <w:color w:val="2E2014"/>
                <w:sz w:val="20"/>
                <w:szCs w:val="20"/>
              </w:rPr>
              <w:t>1.5.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left="95" w:right="40"/>
            </w:pPr>
            <w:r>
              <w:rPr>
                <w:color w:val="2E2014"/>
                <w:sz w:val="20"/>
                <w:szCs w:val="20"/>
              </w:rPr>
              <w:t>wartość</w:t>
            </w:r>
            <w:r>
              <w:rPr>
                <w:color w:val="2E2014"/>
                <w:spacing w:val="20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nieamortyzowanych</w:t>
            </w:r>
            <w:r>
              <w:rPr>
                <w:color w:val="2E2014"/>
                <w:spacing w:val="20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lub</w:t>
            </w:r>
            <w:r>
              <w:rPr>
                <w:color w:val="2E2014"/>
                <w:spacing w:val="20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nieumarzanych</w:t>
            </w:r>
            <w:r>
              <w:rPr>
                <w:color w:val="2E2014"/>
                <w:spacing w:val="19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przez</w:t>
            </w:r>
            <w:r>
              <w:rPr>
                <w:color w:val="2E2014"/>
                <w:spacing w:val="19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jednostkę</w:t>
            </w:r>
            <w:r>
              <w:rPr>
                <w:color w:val="2E2014"/>
                <w:spacing w:val="19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środków</w:t>
            </w:r>
            <w:r>
              <w:rPr>
                <w:color w:val="2E2014"/>
                <w:spacing w:val="20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trwałych,</w:t>
            </w:r>
            <w:r>
              <w:rPr>
                <w:color w:val="2E2014"/>
                <w:spacing w:val="19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używanych</w:t>
            </w:r>
            <w:r>
              <w:rPr>
                <w:color w:val="2E2014"/>
                <w:spacing w:val="20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na</w:t>
            </w:r>
            <w:r>
              <w:rPr>
                <w:color w:val="2E2014"/>
                <w:spacing w:val="20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podstawie umów najmu, dzierżawy i innych umów, w tym z tytułu umów leasingu</w:t>
            </w:r>
          </w:p>
        </w:tc>
      </w:tr>
      <w:tr w:rsidR="00860973" w:rsidTr="00EA6C64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Pr="002537B0" w:rsidRDefault="00860973" w:rsidP="00EA6C6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2537B0">
              <w:rPr>
                <w:b/>
              </w:rPr>
              <w:t xml:space="preserve">11.000,00 zł </w:t>
            </w:r>
          </w:p>
        </w:tc>
      </w:tr>
      <w:tr w:rsidR="00860973" w:rsidTr="00EA6C64">
        <w:trPr>
          <w:trHeight w:hRule="exact" w:val="58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</w:pPr>
            <w:r>
              <w:rPr>
                <w:color w:val="2E2014"/>
                <w:sz w:val="20"/>
                <w:szCs w:val="20"/>
              </w:rPr>
              <w:t>1.6.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left="95" w:right="40"/>
            </w:pPr>
            <w:r>
              <w:rPr>
                <w:color w:val="2E2014"/>
                <w:sz w:val="20"/>
                <w:szCs w:val="20"/>
              </w:rPr>
              <w:t>liczbę</w:t>
            </w:r>
            <w:r>
              <w:rPr>
                <w:color w:val="2E2014"/>
                <w:spacing w:val="32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oraz</w:t>
            </w:r>
            <w:r>
              <w:rPr>
                <w:color w:val="2E2014"/>
                <w:spacing w:val="32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wartość</w:t>
            </w:r>
            <w:r>
              <w:rPr>
                <w:color w:val="2E2014"/>
                <w:spacing w:val="32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posiadanych</w:t>
            </w:r>
            <w:r>
              <w:rPr>
                <w:color w:val="2E2014"/>
                <w:spacing w:val="32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papierów</w:t>
            </w:r>
            <w:r>
              <w:rPr>
                <w:color w:val="2E2014"/>
                <w:spacing w:val="32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wartościowych,</w:t>
            </w:r>
            <w:r>
              <w:rPr>
                <w:color w:val="2E2014"/>
                <w:spacing w:val="32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w</w:t>
            </w:r>
            <w:r>
              <w:rPr>
                <w:color w:val="2E2014"/>
                <w:spacing w:val="32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tym</w:t>
            </w:r>
            <w:r>
              <w:rPr>
                <w:color w:val="2E2014"/>
                <w:spacing w:val="32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akcji</w:t>
            </w:r>
            <w:r>
              <w:rPr>
                <w:color w:val="2E2014"/>
                <w:spacing w:val="32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i</w:t>
            </w:r>
            <w:r>
              <w:rPr>
                <w:color w:val="2E2014"/>
                <w:spacing w:val="32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udziałów</w:t>
            </w:r>
            <w:r>
              <w:rPr>
                <w:color w:val="2E2014"/>
                <w:spacing w:val="32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oraz</w:t>
            </w:r>
            <w:r>
              <w:rPr>
                <w:color w:val="2E2014"/>
                <w:spacing w:val="32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dłużnych</w:t>
            </w:r>
            <w:r>
              <w:rPr>
                <w:color w:val="2E2014"/>
                <w:spacing w:val="32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papierów wartościowych</w:t>
            </w:r>
          </w:p>
        </w:tc>
      </w:tr>
      <w:tr w:rsidR="00860973" w:rsidTr="00EA6C64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</w:pPr>
            <w:r>
              <w:t>Nie dotyczy</w:t>
            </w:r>
          </w:p>
        </w:tc>
      </w:tr>
      <w:tr w:rsidR="00860973" w:rsidTr="00EA6C64">
        <w:trPr>
          <w:trHeight w:hRule="exact" w:val="82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</w:pPr>
            <w:r>
              <w:rPr>
                <w:color w:val="2E2014"/>
                <w:sz w:val="20"/>
                <w:szCs w:val="20"/>
              </w:rPr>
              <w:lastRenderedPageBreak/>
              <w:t>1.7.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6" w:line="250" w:lineRule="auto"/>
              <w:ind w:left="95" w:right="40"/>
              <w:jc w:val="both"/>
            </w:pPr>
            <w:r>
              <w:rPr>
                <w:color w:val="2E2014"/>
                <w:sz w:val="20"/>
                <w:szCs w:val="20"/>
              </w:rPr>
              <w:t>dane o</w:t>
            </w:r>
            <w:r>
              <w:rPr>
                <w:color w:val="2E2014"/>
                <w:spacing w:val="1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odpisach</w:t>
            </w:r>
            <w:r>
              <w:rPr>
                <w:color w:val="2E2014"/>
                <w:spacing w:val="1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aktualizujących wartość należności, ze wskazaniem stanu na początek roku</w:t>
            </w:r>
            <w:r>
              <w:rPr>
                <w:color w:val="2E2014"/>
                <w:spacing w:val="1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obrotowego, zwiększeniach, wykorzystaniu, rozwiązaniu i stanie na koniec roku obrotowego, z uwzględnieniem należności finansowych jednostek samorządu terytorialnego (stan pożyczek zagrożonych)</w:t>
            </w:r>
          </w:p>
        </w:tc>
      </w:tr>
      <w:tr w:rsidR="00860973" w:rsidTr="00EA6C64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</w:pPr>
            <w:r>
              <w:t>Nie dotyczy</w:t>
            </w:r>
          </w:p>
        </w:tc>
      </w:tr>
      <w:tr w:rsidR="00860973" w:rsidTr="00EA6C64">
        <w:trPr>
          <w:trHeight w:hRule="exact" w:val="58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</w:pPr>
            <w:r>
              <w:rPr>
                <w:color w:val="2E2014"/>
                <w:sz w:val="20"/>
                <w:szCs w:val="20"/>
              </w:rPr>
              <w:t>1.8.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6" w:line="250" w:lineRule="auto"/>
              <w:ind w:left="95" w:right="40"/>
            </w:pPr>
            <w:r>
              <w:rPr>
                <w:color w:val="2E2014"/>
                <w:sz w:val="20"/>
                <w:szCs w:val="20"/>
              </w:rPr>
              <w:t>dane</w:t>
            </w:r>
            <w:r>
              <w:rPr>
                <w:color w:val="2E2014"/>
                <w:spacing w:val="4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o</w:t>
            </w:r>
            <w:r>
              <w:rPr>
                <w:color w:val="2E2014"/>
                <w:spacing w:val="4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stanie</w:t>
            </w:r>
            <w:r>
              <w:rPr>
                <w:color w:val="2E2014"/>
                <w:spacing w:val="4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rezerw</w:t>
            </w:r>
            <w:r>
              <w:rPr>
                <w:color w:val="2E2014"/>
                <w:spacing w:val="4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według</w:t>
            </w:r>
            <w:r>
              <w:rPr>
                <w:color w:val="2E2014"/>
                <w:spacing w:val="4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celu</w:t>
            </w:r>
            <w:r>
              <w:rPr>
                <w:color w:val="2E2014"/>
                <w:spacing w:val="4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ich</w:t>
            </w:r>
            <w:r>
              <w:rPr>
                <w:color w:val="2E2014"/>
                <w:spacing w:val="4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utworzenia</w:t>
            </w:r>
            <w:r>
              <w:rPr>
                <w:color w:val="2E2014"/>
                <w:spacing w:val="4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na</w:t>
            </w:r>
            <w:r>
              <w:rPr>
                <w:color w:val="2E2014"/>
                <w:spacing w:val="4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początek</w:t>
            </w:r>
            <w:r>
              <w:rPr>
                <w:color w:val="2E2014"/>
                <w:spacing w:val="4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roku</w:t>
            </w:r>
            <w:r>
              <w:rPr>
                <w:color w:val="2E2014"/>
                <w:spacing w:val="4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obrotowego,</w:t>
            </w:r>
            <w:r>
              <w:rPr>
                <w:color w:val="2E2014"/>
                <w:spacing w:val="4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zwiększeniach,</w:t>
            </w:r>
            <w:r>
              <w:rPr>
                <w:color w:val="2E2014"/>
                <w:spacing w:val="4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wykorzystaniu, rozwiązaniu i stanie końcowym</w:t>
            </w:r>
          </w:p>
        </w:tc>
      </w:tr>
      <w:tr w:rsidR="00860973" w:rsidTr="00EA6C64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</w:pPr>
            <w:r>
              <w:t>Nie dotyczy</w:t>
            </w:r>
          </w:p>
        </w:tc>
      </w:tr>
      <w:tr w:rsidR="00860973" w:rsidTr="00EA6C64">
        <w:trPr>
          <w:trHeight w:hRule="exact" w:val="58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</w:pPr>
            <w:r>
              <w:rPr>
                <w:color w:val="2E2014"/>
                <w:sz w:val="20"/>
                <w:szCs w:val="20"/>
              </w:rPr>
              <w:t>1.9.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6" w:line="250" w:lineRule="auto"/>
              <w:ind w:left="95" w:right="40"/>
              <w:jc w:val="both"/>
            </w:pPr>
            <w:r>
              <w:rPr>
                <w:color w:val="2E2014"/>
                <w:sz w:val="20"/>
                <w:szCs w:val="20"/>
              </w:rPr>
              <w:t xml:space="preserve">podział  </w:t>
            </w:r>
            <w:r>
              <w:rPr>
                <w:color w:val="2E2014"/>
                <w:spacing w:val="3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 xml:space="preserve">zobowiązań  </w:t>
            </w:r>
            <w:r>
              <w:rPr>
                <w:color w:val="2E2014"/>
                <w:spacing w:val="3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 xml:space="preserve">długoterminowych  o  </w:t>
            </w:r>
            <w:r>
              <w:rPr>
                <w:color w:val="2E2014"/>
                <w:spacing w:val="3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 xml:space="preserve">pozostałym  </w:t>
            </w:r>
            <w:r>
              <w:rPr>
                <w:color w:val="2E2014"/>
                <w:spacing w:val="3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 xml:space="preserve">od  </w:t>
            </w:r>
            <w:r>
              <w:rPr>
                <w:color w:val="2E2014"/>
                <w:spacing w:val="3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 xml:space="preserve">dnia  </w:t>
            </w:r>
            <w:r>
              <w:rPr>
                <w:color w:val="2E2014"/>
                <w:spacing w:val="3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bilansowego, przewidywanym umową lub wynikającym z innego tytułu prawnego, okresie spłaty:</w:t>
            </w:r>
          </w:p>
        </w:tc>
      </w:tr>
      <w:tr w:rsidR="00860973" w:rsidTr="00EA6C64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</w:pPr>
            <w:r>
              <w:rPr>
                <w:color w:val="2E2014"/>
                <w:sz w:val="20"/>
                <w:szCs w:val="20"/>
              </w:rPr>
              <w:t>a)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</w:pPr>
            <w:r>
              <w:rPr>
                <w:color w:val="2E2014"/>
                <w:sz w:val="20"/>
                <w:szCs w:val="20"/>
              </w:rPr>
              <w:t>powyżej 1 roku do 3 lat</w:t>
            </w:r>
          </w:p>
        </w:tc>
      </w:tr>
      <w:tr w:rsidR="00860973" w:rsidTr="00EA6C64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</w:pPr>
            <w:r>
              <w:t>Nie dotyczy</w:t>
            </w:r>
          </w:p>
        </w:tc>
      </w:tr>
      <w:tr w:rsidR="00860973" w:rsidTr="00EA6C64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</w:pPr>
            <w:r>
              <w:rPr>
                <w:color w:val="2E2014"/>
                <w:sz w:val="20"/>
                <w:szCs w:val="20"/>
              </w:rPr>
              <w:t>b)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</w:pPr>
            <w:r>
              <w:rPr>
                <w:color w:val="2E2014"/>
                <w:sz w:val="20"/>
                <w:szCs w:val="20"/>
              </w:rPr>
              <w:t>powyżej 3 do 5 lat</w:t>
            </w:r>
          </w:p>
        </w:tc>
      </w:tr>
      <w:tr w:rsidR="00860973" w:rsidTr="00EA6C64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</w:pPr>
            <w:r>
              <w:t>Nie dotyczy</w:t>
            </w:r>
          </w:p>
        </w:tc>
      </w:tr>
      <w:tr w:rsidR="00860973" w:rsidTr="00EA6C64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</w:pPr>
            <w:r>
              <w:rPr>
                <w:color w:val="2E2014"/>
                <w:sz w:val="20"/>
                <w:szCs w:val="20"/>
              </w:rPr>
              <w:t>c)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</w:pPr>
            <w:r>
              <w:rPr>
                <w:color w:val="2E2014"/>
                <w:sz w:val="20"/>
                <w:szCs w:val="20"/>
              </w:rPr>
              <w:t>powyżej 5 lat</w:t>
            </w:r>
          </w:p>
        </w:tc>
      </w:tr>
      <w:tr w:rsidR="00860973" w:rsidTr="00EA6C64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</w:pPr>
            <w:r>
              <w:t>Nie dotyczy</w:t>
            </w:r>
          </w:p>
        </w:tc>
      </w:tr>
      <w:tr w:rsidR="00860973" w:rsidTr="00EA6C64">
        <w:trPr>
          <w:trHeight w:hRule="exact" w:val="82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</w:pPr>
            <w:r>
              <w:rPr>
                <w:color w:val="2E2014"/>
                <w:sz w:val="20"/>
                <w:szCs w:val="20"/>
              </w:rPr>
              <w:t>1.10.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left="95" w:right="40"/>
              <w:jc w:val="both"/>
            </w:pPr>
            <w:r>
              <w:rPr>
                <w:color w:val="2E2014"/>
                <w:sz w:val="20"/>
                <w:szCs w:val="20"/>
              </w:rPr>
              <w:t>kwotę</w:t>
            </w:r>
            <w:r>
              <w:rPr>
                <w:color w:val="2E2014"/>
                <w:spacing w:val="1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zobowiązań</w:t>
            </w:r>
            <w:r>
              <w:rPr>
                <w:color w:val="2E2014"/>
                <w:spacing w:val="1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w</w:t>
            </w:r>
            <w:r>
              <w:rPr>
                <w:color w:val="2E2014"/>
                <w:spacing w:val="1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sytuacji</w:t>
            </w:r>
            <w:r>
              <w:rPr>
                <w:color w:val="2E2014"/>
                <w:spacing w:val="1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gdy</w:t>
            </w:r>
            <w:r>
              <w:rPr>
                <w:color w:val="2E2014"/>
                <w:spacing w:val="1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jednostka</w:t>
            </w:r>
            <w:r>
              <w:rPr>
                <w:color w:val="2E2014"/>
                <w:spacing w:val="1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kwalifikuje umowy</w:t>
            </w:r>
            <w:r>
              <w:rPr>
                <w:color w:val="2E2014"/>
                <w:spacing w:val="1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leasingu</w:t>
            </w:r>
            <w:r>
              <w:rPr>
                <w:color w:val="2E2014"/>
                <w:spacing w:val="1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zgodnie</w:t>
            </w:r>
            <w:r>
              <w:rPr>
                <w:color w:val="2E2014"/>
                <w:spacing w:val="1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z</w:t>
            </w:r>
            <w:r>
              <w:rPr>
                <w:color w:val="2E2014"/>
                <w:spacing w:val="1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przepisami podatkowymi (leasing</w:t>
            </w:r>
            <w:r>
              <w:rPr>
                <w:color w:val="2E2014"/>
                <w:spacing w:val="-2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operacyjny),</w:t>
            </w:r>
            <w:r>
              <w:rPr>
                <w:color w:val="2E2014"/>
                <w:spacing w:val="-2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a</w:t>
            </w:r>
            <w:r>
              <w:rPr>
                <w:color w:val="2E2014"/>
                <w:spacing w:val="-2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według</w:t>
            </w:r>
            <w:r>
              <w:rPr>
                <w:color w:val="2E2014"/>
                <w:spacing w:val="-2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przepisów</w:t>
            </w:r>
            <w:r>
              <w:rPr>
                <w:color w:val="2E2014"/>
                <w:spacing w:val="-2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o</w:t>
            </w:r>
            <w:r>
              <w:rPr>
                <w:color w:val="2E2014"/>
                <w:spacing w:val="-2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rachunkowości</w:t>
            </w:r>
            <w:r>
              <w:rPr>
                <w:color w:val="2E2014"/>
                <w:spacing w:val="-2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byłby</w:t>
            </w:r>
            <w:r>
              <w:rPr>
                <w:color w:val="2E2014"/>
                <w:spacing w:val="-2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to</w:t>
            </w:r>
            <w:r>
              <w:rPr>
                <w:color w:val="2E2014"/>
                <w:spacing w:val="-2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leasing</w:t>
            </w:r>
            <w:r>
              <w:rPr>
                <w:color w:val="2E2014"/>
                <w:spacing w:val="-2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finansowy</w:t>
            </w:r>
            <w:r>
              <w:rPr>
                <w:color w:val="2E2014"/>
                <w:spacing w:val="-2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lub</w:t>
            </w:r>
            <w:r>
              <w:rPr>
                <w:color w:val="2E2014"/>
                <w:spacing w:val="-2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zwrotny</w:t>
            </w:r>
            <w:r>
              <w:rPr>
                <w:color w:val="2E2014"/>
                <w:spacing w:val="-2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z</w:t>
            </w:r>
            <w:r>
              <w:rPr>
                <w:color w:val="2E2014"/>
                <w:spacing w:val="-2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podziałem na kwotę zobowiązań z tytułu leasingu finansowego lub leasingu zwrotnego</w:t>
            </w:r>
          </w:p>
        </w:tc>
      </w:tr>
      <w:tr w:rsidR="00860973" w:rsidTr="00EA6C64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</w:pPr>
            <w:r>
              <w:t>Nie dotyczy</w:t>
            </w:r>
          </w:p>
        </w:tc>
      </w:tr>
      <w:tr w:rsidR="00860973" w:rsidTr="00EA6C64">
        <w:trPr>
          <w:trHeight w:hRule="exact" w:val="58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</w:pPr>
            <w:r>
              <w:rPr>
                <w:color w:val="2E2014"/>
                <w:sz w:val="20"/>
                <w:szCs w:val="20"/>
              </w:rPr>
              <w:t>1.11.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left="95" w:right="40"/>
            </w:pPr>
            <w:r>
              <w:rPr>
                <w:color w:val="2E2014"/>
                <w:sz w:val="20"/>
                <w:szCs w:val="20"/>
              </w:rPr>
              <w:t>łączną</w:t>
            </w:r>
            <w:r>
              <w:rPr>
                <w:color w:val="2E2014"/>
                <w:spacing w:val="48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kwotę</w:t>
            </w:r>
            <w:r>
              <w:rPr>
                <w:color w:val="2E2014"/>
                <w:spacing w:val="48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zobowiązań</w:t>
            </w:r>
            <w:r>
              <w:rPr>
                <w:color w:val="2E2014"/>
                <w:spacing w:val="48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zabezpieczonych</w:t>
            </w:r>
            <w:r>
              <w:rPr>
                <w:color w:val="2E2014"/>
                <w:spacing w:val="48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na</w:t>
            </w:r>
            <w:r>
              <w:rPr>
                <w:color w:val="2E2014"/>
                <w:spacing w:val="48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majątku</w:t>
            </w:r>
            <w:r>
              <w:rPr>
                <w:color w:val="2E2014"/>
                <w:spacing w:val="48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jednostki</w:t>
            </w:r>
            <w:r>
              <w:rPr>
                <w:color w:val="2E2014"/>
                <w:spacing w:val="48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ze</w:t>
            </w:r>
            <w:r>
              <w:rPr>
                <w:color w:val="2E2014"/>
                <w:spacing w:val="48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wskazaniem</w:t>
            </w:r>
            <w:r>
              <w:rPr>
                <w:color w:val="2E2014"/>
                <w:spacing w:val="48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charakteru</w:t>
            </w:r>
            <w:r>
              <w:rPr>
                <w:color w:val="2E2014"/>
                <w:spacing w:val="48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i</w:t>
            </w:r>
            <w:r>
              <w:rPr>
                <w:color w:val="2E2014"/>
                <w:spacing w:val="48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formy</w:t>
            </w:r>
            <w:r>
              <w:rPr>
                <w:color w:val="2E2014"/>
                <w:spacing w:val="48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tych zabezpieczeń</w:t>
            </w:r>
          </w:p>
        </w:tc>
      </w:tr>
      <w:tr w:rsidR="00860973" w:rsidTr="00EA6C64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</w:pPr>
            <w:r>
              <w:t>Nie dotyczy</w:t>
            </w:r>
          </w:p>
        </w:tc>
      </w:tr>
      <w:tr w:rsidR="00860973" w:rsidTr="00EA6C64">
        <w:trPr>
          <w:trHeight w:hRule="exact" w:val="82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</w:pPr>
            <w:r>
              <w:rPr>
                <w:color w:val="2E2014"/>
                <w:sz w:val="20"/>
                <w:szCs w:val="20"/>
              </w:rPr>
              <w:t>1.12.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left="95" w:right="40"/>
              <w:jc w:val="both"/>
            </w:pPr>
            <w:r>
              <w:rPr>
                <w:color w:val="2E2014"/>
                <w:sz w:val="20"/>
                <w:szCs w:val="20"/>
              </w:rPr>
              <w:t>łączną kwotę zobowiązań warunkowych, w tym również udzielonych przez jednostkę gwarancji i poręczeń, także wekslowych, niewykazanych w</w:t>
            </w:r>
            <w:r>
              <w:rPr>
                <w:color w:val="2E2014"/>
                <w:spacing w:val="1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bilansie, ze wskazaniem zobowiązań zabezpieczonych na majątku jednostki oraz charakteru i formy tych zabezpieczeń</w:t>
            </w:r>
          </w:p>
        </w:tc>
      </w:tr>
      <w:tr w:rsidR="00860973" w:rsidTr="00EA6C64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</w:pPr>
            <w:r>
              <w:t>Nie dotyczy</w:t>
            </w:r>
          </w:p>
        </w:tc>
      </w:tr>
      <w:tr w:rsidR="00860973" w:rsidTr="00EA6C64">
        <w:trPr>
          <w:trHeight w:hRule="exact" w:val="82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</w:pPr>
            <w:r>
              <w:rPr>
                <w:color w:val="2E2014"/>
                <w:sz w:val="20"/>
                <w:szCs w:val="20"/>
              </w:rPr>
              <w:t>1.13.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left="95" w:right="40"/>
              <w:jc w:val="both"/>
            </w:pPr>
            <w:r>
              <w:rPr>
                <w:color w:val="2E2014"/>
                <w:sz w:val="20"/>
                <w:szCs w:val="20"/>
              </w:rPr>
              <w:t>wykaz istotnych pozycji czynnych i biernych rozliczeń międzyokresowych, w tym kwotę czynnych rozliczeń międzyokresowych kosztów stanowiących różnicę między wartością otrzymanych finansowych składników aktywów a zobowiązaniem zapłaty za nie</w:t>
            </w:r>
          </w:p>
        </w:tc>
      </w:tr>
      <w:tr w:rsidR="00860973" w:rsidTr="00EA6C64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</w:pPr>
            <w:r>
              <w:t>Nie dotyczy</w:t>
            </w:r>
          </w:p>
        </w:tc>
      </w:tr>
      <w:tr w:rsidR="00860973" w:rsidTr="00EA6C64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</w:pPr>
            <w:r>
              <w:rPr>
                <w:color w:val="2E2014"/>
                <w:sz w:val="20"/>
                <w:szCs w:val="20"/>
              </w:rPr>
              <w:t>1.14.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</w:pPr>
            <w:r>
              <w:rPr>
                <w:color w:val="2E2014"/>
                <w:sz w:val="20"/>
                <w:szCs w:val="20"/>
              </w:rPr>
              <w:t>łączną kwotę otrzymanych przez jednostkę gwarancji i poręczeń niewykazanych w bilansie</w:t>
            </w:r>
          </w:p>
        </w:tc>
      </w:tr>
      <w:tr w:rsidR="00860973" w:rsidTr="00EA6C64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</w:pPr>
            <w:r>
              <w:t>Nie dotyczy</w:t>
            </w:r>
          </w:p>
        </w:tc>
      </w:tr>
      <w:tr w:rsidR="00860973" w:rsidTr="00EA6C64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</w:pPr>
            <w:r>
              <w:rPr>
                <w:color w:val="2E2014"/>
                <w:sz w:val="20"/>
                <w:szCs w:val="20"/>
              </w:rPr>
              <w:t>1.15.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</w:pPr>
            <w:r>
              <w:rPr>
                <w:color w:val="2E2014"/>
                <w:sz w:val="20"/>
                <w:szCs w:val="20"/>
              </w:rPr>
              <w:t>kwotę wypłaconych środków pieniężnych na świadczenia pracownicze</w:t>
            </w:r>
          </w:p>
        </w:tc>
      </w:tr>
      <w:tr w:rsidR="00860973" w:rsidTr="00EA6C64">
        <w:trPr>
          <w:trHeight w:hRule="exact" w:val="385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Pr="002537B0" w:rsidRDefault="00860973" w:rsidP="00EA6C64">
            <w:pPr>
              <w:widowControl w:val="0"/>
              <w:tabs>
                <w:tab w:val="left" w:pos="1620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182.600,31</w:t>
            </w:r>
            <w:r w:rsidRPr="002537B0">
              <w:rPr>
                <w:b/>
              </w:rPr>
              <w:t xml:space="preserve"> zł</w:t>
            </w:r>
          </w:p>
          <w:p w:rsidR="00860973" w:rsidRDefault="00860973" w:rsidP="00EA6C64">
            <w:pPr>
              <w:widowControl w:val="0"/>
              <w:tabs>
                <w:tab w:val="left" w:pos="1620"/>
              </w:tabs>
              <w:autoSpaceDE w:val="0"/>
              <w:autoSpaceDN w:val="0"/>
              <w:adjustRightInd w:val="0"/>
            </w:pPr>
          </w:p>
          <w:p w:rsidR="00860973" w:rsidRDefault="00860973" w:rsidP="00EA6C64">
            <w:pPr>
              <w:widowControl w:val="0"/>
              <w:tabs>
                <w:tab w:val="left" w:pos="1620"/>
              </w:tabs>
              <w:autoSpaceDE w:val="0"/>
              <w:autoSpaceDN w:val="0"/>
              <w:adjustRightInd w:val="0"/>
            </w:pPr>
          </w:p>
          <w:p w:rsidR="00860973" w:rsidRDefault="00860973" w:rsidP="00EA6C64">
            <w:pPr>
              <w:widowControl w:val="0"/>
              <w:tabs>
                <w:tab w:val="left" w:pos="1620"/>
              </w:tabs>
              <w:autoSpaceDE w:val="0"/>
              <w:autoSpaceDN w:val="0"/>
              <w:adjustRightInd w:val="0"/>
            </w:pPr>
          </w:p>
          <w:p w:rsidR="00860973" w:rsidRPr="00F429CA" w:rsidRDefault="00860973" w:rsidP="00EA6C64">
            <w:pPr>
              <w:widowControl w:val="0"/>
              <w:autoSpaceDE w:val="0"/>
              <w:autoSpaceDN w:val="0"/>
              <w:adjustRightInd w:val="0"/>
            </w:pPr>
            <w:r>
              <w:t xml:space="preserve">      214.522,96 </w:t>
            </w:r>
            <w:r w:rsidRPr="00F429CA">
              <w:t>zł</w:t>
            </w:r>
          </w:p>
        </w:tc>
      </w:tr>
      <w:tr w:rsidR="00860973" w:rsidTr="00EA6C64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</w:pPr>
            <w:r>
              <w:rPr>
                <w:color w:val="2E2014"/>
                <w:sz w:val="20"/>
                <w:szCs w:val="20"/>
              </w:rPr>
              <w:t>1.16.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</w:pPr>
            <w:r>
              <w:rPr>
                <w:color w:val="2E2014"/>
                <w:sz w:val="20"/>
                <w:szCs w:val="20"/>
              </w:rPr>
              <w:t>inne informacje</w:t>
            </w:r>
          </w:p>
        </w:tc>
      </w:tr>
      <w:tr w:rsidR="00860973" w:rsidTr="00EA6C64">
        <w:trPr>
          <w:trHeight w:hRule="exact" w:val="874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Pr="00037151" w:rsidRDefault="00860973" w:rsidP="00EA6C6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>Należności od jednostek budżetowych: S</w:t>
            </w:r>
            <w:r w:rsidRPr="00AE235F">
              <w:rPr>
                <w:b/>
              </w:rPr>
              <w:t>zkoły Pods</w:t>
            </w:r>
            <w:r>
              <w:rPr>
                <w:b/>
              </w:rPr>
              <w:t>tawowej nr 1 w Krośniewicach  1</w:t>
            </w:r>
            <w:r w:rsidRPr="00AE235F">
              <w:rPr>
                <w:b/>
              </w:rPr>
              <w:t>6</w:t>
            </w:r>
            <w:r>
              <w:rPr>
                <w:b/>
              </w:rPr>
              <w:t>6</w:t>
            </w:r>
            <w:r w:rsidRPr="00AE235F">
              <w:rPr>
                <w:b/>
              </w:rPr>
              <w:t>,</w:t>
            </w:r>
            <w:r>
              <w:rPr>
                <w:b/>
              </w:rPr>
              <w:t xml:space="preserve">14 zł oraz Miejskiego Przedszkola w Krośniewicach 664,53 zł </w:t>
            </w:r>
            <w:r w:rsidRPr="00AE235F">
              <w:rPr>
                <w:b/>
              </w:rPr>
              <w:t xml:space="preserve">- </w:t>
            </w:r>
            <w:r>
              <w:rPr>
                <w:b/>
              </w:rPr>
              <w:t xml:space="preserve">Noty księgowe </w:t>
            </w:r>
            <w:r w:rsidRPr="00AE235F">
              <w:rPr>
                <w:b/>
              </w:rPr>
              <w:t>za energię elektryczną</w:t>
            </w:r>
          </w:p>
        </w:tc>
      </w:tr>
      <w:tr w:rsidR="00860973" w:rsidTr="00EA6C64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</w:pPr>
            <w:r>
              <w:rPr>
                <w:color w:val="2E2014"/>
                <w:sz w:val="20"/>
                <w:szCs w:val="20"/>
              </w:rPr>
              <w:t>2.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60973" w:rsidTr="00EA6C64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</w:pPr>
            <w:r>
              <w:rPr>
                <w:color w:val="2E2014"/>
                <w:sz w:val="20"/>
                <w:szCs w:val="20"/>
              </w:rPr>
              <w:t>2.1.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</w:pPr>
            <w:r>
              <w:rPr>
                <w:color w:val="2E2014"/>
                <w:sz w:val="20"/>
                <w:szCs w:val="20"/>
              </w:rPr>
              <w:t>wysokość odpisów aktualizujących wartość zapasów</w:t>
            </w:r>
          </w:p>
        </w:tc>
      </w:tr>
      <w:tr w:rsidR="00860973" w:rsidTr="00EA6C64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</w:pPr>
            <w:r>
              <w:t>Nie dotyczy</w:t>
            </w:r>
          </w:p>
        </w:tc>
      </w:tr>
      <w:tr w:rsidR="00860973" w:rsidTr="00EA6C64">
        <w:trPr>
          <w:trHeight w:hRule="exact" w:val="58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</w:pPr>
            <w:r>
              <w:rPr>
                <w:color w:val="2E2014"/>
                <w:sz w:val="20"/>
                <w:szCs w:val="20"/>
              </w:rPr>
              <w:t>2.2.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left="95" w:right="40"/>
            </w:pPr>
            <w:r>
              <w:rPr>
                <w:color w:val="2E2014"/>
                <w:sz w:val="20"/>
                <w:szCs w:val="20"/>
              </w:rPr>
              <w:t>koszt wytworzenia środków trwałych w budowie, w tym odsetki oraz różnice kursowe, które powiększyły koszt wytworzenia środków trwałych w budowie w roku obrotowym</w:t>
            </w:r>
          </w:p>
        </w:tc>
      </w:tr>
      <w:tr w:rsidR="00860973" w:rsidTr="00EA6C64">
        <w:trPr>
          <w:trHeight w:hRule="exact" w:val="36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color w:val="2E2014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left="95" w:right="40"/>
              <w:rPr>
                <w:color w:val="2E2014"/>
                <w:sz w:val="20"/>
                <w:szCs w:val="20"/>
              </w:rPr>
            </w:pPr>
            <w:r>
              <w:t>Nie dotyczy</w:t>
            </w:r>
          </w:p>
        </w:tc>
      </w:tr>
      <w:tr w:rsidR="00860973" w:rsidTr="00EA6C64">
        <w:trPr>
          <w:trHeight w:hRule="exact" w:val="58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</w:pPr>
            <w:r>
              <w:rPr>
                <w:color w:val="2E2014"/>
                <w:sz w:val="20"/>
                <w:szCs w:val="20"/>
              </w:rPr>
              <w:lastRenderedPageBreak/>
              <w:t>2.3.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left="95" w:right="40"/>
            </w:pPr>
            <w:r>
              <w:rPr>
                <w:color w:val="2E2014"/>
                <w:sz w:val="20"/>
                <w:szCs w:val="20"/>
              </w:rPr>
              <w:t>kwotę</w:t>
            </w:r>
            <w:r>
              <w:rPr>
                <w:color w:val="2E2014"/>
                <w:spacing w:val="-12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i</w:t>
            </w:r>
            <w:r>
              <w:rPr>
                <w:color w:val="2E2014"/>
                <w:spacing w:val="-12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charakter</w:t>
            </w:r>
            <w:r>
              <w:rPr>
                <w:color w:val="2E2014"/>
                <w:spacing w:val="-12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poszczególnych</w:t>
            </w:r>
            <w:r>
              <w:rPr>
                <w:color w:val="2E2014"/>
                <w:spacing w:val="-12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pozycji</w:t>
            </w:r>
            <w:r>
              <w:rPr>
                <w:color w:val="2E2014"/>
                <w:spacing w:val="-12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przychodów</w:t>
            </w:r>
            <w:r>
              <w:rPr>
                <w:color w:val="2E2014"/>
                <w:spacing w:val="-12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lub</w:t>
            </w:r>
            <w:r>
              <w:rPr>
                <w:color w:val="2E2014"/>
                <w:spacing w:val="-12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kosztów</w:t>
            </w:r>
            <w:r>
              <w:rPr>
                <w:color w:val="2E2014"/>
                <w:spacing w:val="-12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o</w:t>
            </w:r>
            <w:r>
              <w:rPr>
                <w:color w:val="2E2014"/>
                <w:spacing w:val="-12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nadzwyczajnej</w:t>
            </w:r>
            <w:r>
              <w:rPr>
                <w:color w:val="2E2014"/>
                <w:spacing w:val="-13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wartości</w:t>
            </w:r>
            <w:r>
              <w:rPr>
                <w:color w:val="2E2014"/>
                <w:spacing w:val="-12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lub</w:t>
            </w:r>
            <w:r>
              <w:rPr>
                <w:color w:val="2E2014"/>
                <w:spacing w:val="-12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które</w:t>
            </w:r>
            <w:r>
              <w:rPr>
                <w:color w:val="2E2014"/>
                <w:spacing w:val="-12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wystąpiły incydentalnie</w:t>
            </w:r>
          </w:p>
        </w:tc>
      </w:tr>
      <w:tr w:rsidR="00860973" w:rsidTr="00EA6C64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</w:pPr>
            <w:r>
              <w:t>Nie dotyczy</w:t>
            </w:r>
          </w:p>
        </w:tc>
      </w:tr>
      <w:tr w:rsidR="00860973" w:rsidTr="00EA6C64">
        <w:trPr>
          <w:trHeight w:hRule="exact" w:val="82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</w:pPr>
            <w:r>
              <w:rPr>
                <w:color w:val="2E2014"/>
                <w:sz w:val="20"/>
                <w:szCs w:val="20"/>
              </w:rPr>
              <w:t>2.4.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6" w:line="250" w:lineRule="auto"/>
              <w:ind w:left="95" w:right="40"/>
              <w:jc w:val="both"/>
            </w:pPr>
            <w:r>
              <w:rPr>
                <w:color w:val="2E2014"/>
                <w:sz w:val="20"/>
                <w:szCs w:val="20"/>
              </w:rPr>
              <w:t>informację o kwocie należności z tytułu podatków realizowanych przez organy podatkowe podległe ministrowi właściwemu do spraw finansów publicznych wykazywanych w sprawozdaniu z wykonania planu dochodów budżetowych</w:t>
            </w:r>
          </w:p>
        </w:tc>
      </w:tr>
      <w:tr w:rsidR="00860973" w:rsidTr="00EA6C64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</w:pPr>
            <w:r>
              <w:t>Nie dotyczy</w:t>
            </w:r>
          </w:p>
        </w:tc>
      </w:tr>
      <w:tr w:rsidR="00860973" w:rsidTr="00EA6C64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</w:pPr>
            <w:r>
              <w:rPr>
                <w:color w:val="2E2014"/>
                <w:sz w:val="20"/>
                <w:szCs w:val="20"/>
              </w:rPr>
              <w:t>2.5.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</w:pPr>
            <w:r>
              <w:rPr>
                <w:color w:val="2E2014"/>
                <w:sz w:val="20"/>
                <w:szCs w:val="20"/>
              </w:rPr>
              <w:t>inne informacje</w:t>
            </w:r>
          </w:p>
        </w:tc>
      </w:tr>
      <w:tr w:rsidR="00860973" w:rsidTr="00EA6C64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</w:pPr>
            <w:r>
              <w:t>Nie dotyczy</w:t>
            </w:r>
          </w:p>
        </w:tc>
      </w:tr>
      <w:tr w:rsidR="00860973" w:rsidTr="00EA6C64">
        <w:trPr>
          <w:trHeight w:hRule="exact" w:val="58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</w:pPr>
            <w:r>
              <w:rPr>
                <w:color w:val="2E2014"/>
                <w:sz w:val="20"/>
                <w:szCs w:val="20"/>
              </w:rPr>
              <w:t>3.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46" w:line="250" w:lineRule="auto"/>
              <w:ind w:left="95" w:right="40"/>
            </w:pPr>
            <w:r>
              <w:rPr>
                <w:color w:val="2E2014"/>
                <w:sz w:val="20"/>
                <w:szCs w:val="20"/>
              </w:rPr>
              <w:t>Inne</w:t>
            </w:r>
            <w:r>
              <w:rPr>
                <w:color w:val="2E2014"/>
                <w:spacing w:val="-14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informacje</w:t>
            </w:r>
            <w:r>
              <w:rPr>
                <w:color w:val="2E2014"/>
                <w:spacing w:val="-14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niż</w:t>
            </w:r>
            <w:r>
              <w:rPr>
                <w:color w:val="2E2014"/>
                <w:spacing w:val="-14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wymienione</w:t>
            </w:r>
            <w:r>
              <w:rPr>
                <w:color w:val="2E2014"/>
                <w:spacing w:val="-14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powyżej,</w:t>
            </w:r>
            <w:r>
              <w:rPr>
                <w:color w:val="2E2014"/>
                <w:spacing w:val="-14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jeżeli</w:t>
            </w:r>
            <w:r>
              <w:rPr>
                <w:color w:val="2E2014"/>
                <w:spacing w:val="-14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mogłyby</w:t>
            </w:r>
            <w:r>
              <w:rPr>
                <w:color w:val="2E2014"/>
                <w:spacing w:val="-14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w</w:t>
            </w:r>
            <w:r>
              <w:rPr>
                <w:color w:val="2E2014"/>
                <w:spacing w:val="-14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istotny</w:t>
            </w:r>
            <w:r>
              <w:rPr>
                <w:color w:val="2E2014"/>
                <w:spacing w:val="-14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sposób</w:t>
            </w:r>
            <w:r>
              <w:rPr>
                <w:color w:val="2E2014"/>
                <w:spacing w:val="-14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wpłynąć</w:t>
            </w:r>
            <w:r>
              <w:rPr>
                <w:color w:val="2E2014"/>
                <w:spacing w:val="-14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na</w:t>
            </w:r>
            <w:r>
              <w:rPr>
                <w:color w:val="2E2014"/>
                <w:spacing w:val="-14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ocenę</w:t>
            </w:r>
            <w:r>
              <w:rPr>
                <w:color w:val="2E2014"/>
                <w:spacing w:val="-14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sytuacji</w:t>
            </w:r>
            <w:r>
              <w:rPr>
                <w:color w:val="2E2014"/>
                <w:spacing w:val="-14"/>
                <w:sz w:val="20"/>
                <w:szCs w:val="20"/>
              </w:rPr>
              <w:t xml:space="preserve"> </w:t>
            </w:r>
            <w:r>
              <w:rPr>
                <w:color w:val="2E2014"/>
                <w:sz w:val="20"/>
                <w:szCs w:val="20"/>
              </w:rPr>
              <w:t>majątkowej i finansowej oraz wynik finansowy jednostki</w:t>
            </w:r>
          </w:p>
        </w:tc>
      </w:tr>
      <w:tr w:rsidR="00860973" w:rsidTr="00EA6C64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</w:pPr>
            <w:r>
              <w:t>Nie dotyczy</w:t>
            </w:r>
          </w:p>
        </w:tc>
      </w:tr>
    </w:tbl>
    <w:p w:rsidR="00860973" w:rsidRDefault="00860973" w:rsidP="00860973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860973" w:rsidRDefault="00860973" w:rsidP="00860973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860973" w:rsidRDefault="00860973" w:rsidP="00860973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860973" w:rsidRDefault="00860973" w:rsidP="00860973">
      <w:pPr>
        <w:widowControl w:val="0"/>
        <w:autoSpaceDE w:val="0"/>
        <w:autoSpaceDN w:val="0"/>
        <w:adjustRightInd w:val="0"/>
        <w:spacing w:before="15" w:line="200" w:lineRule="exact"/>
        <w:rPr>
          <w:sz w:val="20"/>
          <w:szCs w:val="20"/>
        </w:rPr>
      </w:pPr>
    </w:p>
    <w:tbl>
      <w:tblPr>
        <w:tblW w:w="0" w:type="auto"/>
        <w:tblInd w:w="1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94"/>
        <w:gridCol w:w="3890"/>
        <w:gridCol w:w="2865"/>
      </w:tblGrid>
      <w:tr w:rsidR="00860973" w:rsidTr="00EA6C64">
        <w:trPr>
          <w:trHeight w:hRule="exact" w:val="280"/>
        </w:trPr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:rsidR="00860973" w:rsidRPr="00062D81" w:rsidRDefault="00860973" w:rsidP="00EA6C64">
            <w:pPr>
              <w:widowControl w:val="0"/>
              <w:autoSpaceDE w:val="0"/>
              <w:autoSpaceDN w:val="0"/>
              <w:adjustRightInd w:val="0"/>
              <w:spacing w:before="76" w:line="203" w:lineRule="exact"/>
              <w:ind w:left="40"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Małgorzata Kołodziejczak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860973" w:rsidRDefault="00860973" w:rsidP="00EA6C64">
            <w:pPr>
              <w:widowControl w:val="0"/>
              <w:autoSpaceDE w:val="0"/>
              <w:autoSpaceDN w:val="0"/>
              <w:adjustRightInd w:val="0"/>
              <w:spacing w:before="76" w:line="203" w:lineRule="exact"/>
              <w:ind w:left="1065" w:right="-20"/>
              <w:rPr>
                <w:color w:val="2E2014"/>
                <w:position w:val="-1"/>
                <w:sz w:val="16"/>
                <w:szCs w:val="16"/>
              </w:rPr>
            </w:pPr>
            <w:r>
              <w:rPr>
                <w:color w:val="2E2014"/>
                <w:position w:val="-1"/>
                <w:sz w:val="16"/>
                <w:szCs w:val="16"/>
              </w:rPr>
              <w:t xml:space="preserve">          2025.03.26</w:t>
            </w:r>
          </w:p>
          <w:p w:rsidR="00860973" w:rsidRPr="00062D81" w:rsidRDefault="00860973" w:rsidP="00EA6C64">
            <w:pPr>
              <w:widowControl w:val="0"/>
              <w:autoSpaceDE w:val="0"/>
              <w:autoSpaceDN w:val="0"/>
              <w:adjustRightInd w:val="0"/>
              <w:spacing w:before="76" w:line="203" w:lineRule="exact"/>
              <w:ind w:left="1065" w:right="-20"/>
              <w:rPr>
                <w:sz w:val="16"/>
                <w:szCs w:val="16"/>
              </w:rPr>
            </w:pPr>
            <w:r>
              <w:rPr>
                <w:color w:val="2E2014"/>
                <w:position w:val="-1"/>
                <w:sz w:val="16"/>
                <w:szCs w:val="16"/>
              </w:rPr>
              <w:t>.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</w:tcPr>
          <w:p w:rsidR="00860973" w:rsidRPr="00062D81" w:rsidRDefault="00860973" w:rsidP="00EA6C64">
            <w:pPr>
              <w:widowControl w:val="0"/>
              <w:autoSpaceDE w:val="0"/>
              <w:autoSpaceDN w:val="0"/>
              <w:adjustRightInd w:val="0"/>
              <w:spacing w:before="76" w:line="203" w:lineRule="exact"/>
              <w:ind w:right="-20"/>
              <w:jc w:val="center"/>
              <w:rPr>
                <w:sz w:val="16"/>
                <w:szCs w:val="16"/>
              </w:rPr>
            </w:pPr>
            <w:r>
              <w:rPr>
                <w:color w:val="2E2014"/>
                <w:position w:val="-1"/>
                <w:sz w:val="16"/>
                <w:szCs w:val="16"/>
              </w:rPr>
              <w:t>Agnieszka Bojanowska</w:t>
            </w:r>
            <w:r w:rsidRPr="00062D81">
              <w:rPr>
                <w:color w:val="2E2014"/>
                <w:position w:val="-1"/>
                <w:sz w:val="16"/>
                <w:szCs w:val="16"/>
              </w:rPr>
              <w:t>.</w:t>
            </w:r>
          </w:p>
        </w:tc>
      </w:tr>
      <w:tr w:rsidR="00860973" w:rsidTr="00EA6C64">
        <w:trPr>
          <w:trHeight w:hRule="exact" w:val="280"/>
        </w:trPr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:rsidR="00860973" w:rsidRPr="00062D81" w:rsidRDefault="00860973" w:rsidP="00EA6C64">
            <w:pPr>
              <w:widowControl w:val="0"/>
              <w:autoSpaceDE w:val="0"/>
              <w:autoSpaceDN w:val="0"/>
              <w:adjustRightInd w:val="0"/>
              <w:spacing w:line="184" w:lineRule="exact"/>
              <w:ind w:left="288" w:right="-20"/>
              <w:rPr>
                <w:sz w:val="16"/>
                <w:szCs w:val="16"/>
              </w:rPr>
            </w:pPr>
            <w:r>
              <w:rPr>
                <w:color w:val="2E2014"/>
                <w:sz w:val="16"/>
                <w:szCs w:val="16"/>
              </w:rPr>
              <w:t xml:space="preserve">              </w:t>
            </w:r>
            <w:r w:rsidRPr="00062D81">
              <w:rPr>
                <w:color w:val="2E2014"/>
                <w:sz w:val="16"/>
                <w:szCs w:val="16"/>
              </w:rPr>
              <w:t>(główny księgowy)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860973" w:rsidRPr="00062D81" w:rsidRDefault="00860973" w:rsidP="00EA6C64">
            <w:pPr>
              <w:widowControl w:val="0"/>
              <w:autoSpaceDE w:val="0"/>
              <w:autoSpaceDN w:val="0"/>
              <w:adjustRightInd w:val="0"/>
              <w:spacing w:line="184" w:lineRule="exact"/>
              <w:ind w:left="1270" w:right="-20"/>
              <w:rPr>
                <w:sz w:val="16"/>
                <w:szCs w:val="16"/>
              </w:rPr>
            </w:pPr>
            <w:r w:rsidRPr="00062D81">
              <w:rPr>
                <w:color w:val="2E2014"/>
                <w:sz w:val="16"/>
                <w:szCs w:val="16"/>
              </w:rPr>
              <w:t>(rok, miesiąc, dzień)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</w:tcPr>
          <w:p w:rsidR="00860973" w:rsidRPr="00062D81" w:rsidRDefault="00860973" w:rsidP="00EA6C64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-20"/>
              <w:rPr>
                <w:sz w:val="16"/>
                <w:szCs w:val="16"/>
              </w:rPr>
            </w:pPr>
            <w:r>
              <w:rPr>
                <w:color w:val="2E2014"/>
                <w:sz w:val="16"/>
                <w:szCs w:val="16"/>
              </w:rPr>
              <w:t xml:space="preserve">                    </w:t>
            </w:r>
            <w:r w:rsidRPr="00062D81">
              <w:rPr>
                <w:color w:val="2E2014"/>
                <w:sz w:val="16"/>
                <w:szCs w:val="16"/>
              </w:rPr>
              <w:t>(kierownik jednostki)</w:t>
            </w:r>
          </w:p>
        </w:tc>
      </w:tr>
    </w:tbl>
    <w:p w:rsidR="00860973" w:rsidRDefault="00860973" w:rsidP="00860973"/>
    <w:p w:rsidR="00860973" w:rsidRDefault="00860973" w:rsidP="00860973"/>
    <w:p w:rsidR="00860973" w:rsidRDefault="00860973" w:rsidP="00860973"/>
    <w:p w:rsidR="00860973" w:rsidRDefault="00860973" w:rsidP="00860973"/>
    <w:p w:rsidR="00860973" w:rsidRDefault="00860973" w:rsidP="00860973"/>
    <w:p w:rsidR="00860973" w:rsidRDefault="00860973" w:rsidP="00860973"/>
    <w:p w:rsidR="00860973" w:rsidRDefault="00860973" w:rsidP="00860973"/>
    <w:p w:rsidR="00860973" w:rsidRDefault="00860973" w:rsidP="00860973"/>
    <w:p w:rsidR="00860973" w:rsidRDefault="00860973" w:rsidP="00860973"/>
    <w:p w:rsidR="00860973" w:rsidRDefault="00860973" w:rsidP="00860973"/>
    <w:p w:rsidR="00860973" w:rsidRDefault="00860973" w:rsidP="00860973"/>
    <w:p w:rsidR="00860973" w:rsidRDefault="00860973" w:rsidP="00860973"/>
    <w:p w:rsidR="00860973" w:rsidRDefault="00860973" w:rsidP="00860973"/>
    <w:p w:rsidR="00860973" w:rsidRDefault="00860973" w:rsidP="00860973"/>
    <w:p w:rsidR="00860973" w:rsidRDefault="00860973" w:rsidP="00860973"/>
    <w:p w:rsidR="00860973" w:rsidRDefault="00860973" w:rsidP="00860973"/>
    <w:p w:rsidR="00860973" w:rsidRDefault="00860973" w:rsidP="00860973"/>
    <w:p w:rsidR="00860973" w:rsidRDefault="00860973" w:rsidP="00860973"/>
    <w:p w:rsidR="00860973" w:rsidRDefault="00860973" w:rsidP="00860973"/>
    <w:p w:rsidR="00860973" w:rsidRDefault="00860973" w:rsidP="00860973"/>
    <w:p w:rsidR="00860973" w:rsidRDefault="00860973" w:rsidP="00860973"/>
    <w:p w:rsidR="00860973" w:rsidRDefault="00860973" w:rsidP="00860973"/>
    <w:p w:rsidR="00860973" w:rsidRDefault="00860973" w:rsidP="00860973"/>
    <w:p w:rsidR="00860973" w:rsidRDefault="00860973" w:rsidP="00860973"/>
    <w:p w:rsidR="00860973" w:rsidRDefault="00860973" w:rsidP="00860973"/>
    <w:p w:rsidR="00860973" w:rsidRDefault="00860973" w:rsidP="00860973"/>
    <w:p w:rsidR="00860973" w:rsidRDefault="00860973" w:rsidP="00860973"/>
    <w:p w:rsidR="00860973" w:rsidRDefault="00860973" w:rsidP="00860973"/>
    <w:p w:rsidR="00860973" w:rsidRDefault="00860973" w:rsidP="00860973"/>
    <w:p w:rsidR="00860973" w:rsidRDefault="00860973" w:rsidP="00860973"/>
    <w:p w:rsidR="00860973" w:rsidRDefault="00860973" w:rsidP="00860973"/>
    <w:p w:rsidR="00860973" w:rsidRDefault="00860973" w:rsidP="00860973"/>
    <w:p w:rsidR="00860973" w:rsidRDefault="00860973" w:rsidP="00860973"/>
    <w:p w:rsidR="00860973" w:rsidRDefault="00860973" w:rsidP="00860973">
      <w:pPr>
        <w:rPr>
          <w:b/>
        </w:rPr>
      </w:pPr>
      <w:r w:rsidRPr="00FF4FAF">
        <w:rPr>
          <w:b/>
        </w:rPr>
        <w:lastRenderedPageBreak/>
        <w:t xml:space="preserve">Załącznik nr 1 do Informacji dodatkowej </w:t>
      </w:r>
    </w:p>
    <w:p w:rsidR="00860973" w:rsidRPr="00FF4FAF" w:rsidRDefault="00860973" w:rsidP="00860973">
      <w:pPr>
        <w:rPr>
          <w:b/>
        </w:rPr>
      </w:pPr>
    </w:p>
    <w:p w:rsidR="00860973" w:rsidRDefault="00860973" w:rsidP="00860973">
      <w:pPr>
        <w:rPr>
          <w:b/>
        </w:rPr>
      </w:pPr>
      <w:r w:rsidRPr="00FF4FAF">
        <w:rPr>
          <w:b/>
        </w:rPr>
        <w:t>Część I punkt I.4. – Omówienie przyjętych zasad (polityki) rachunkowości, w tym metod wyceny aktywów i pasywów (także amortyzacji)</w:t>
      </w:r>
    </w:p>
    <w:p w:rsidR="00860973" w:rsidRDefault="00860973" w:rsidP="00860973">
      <w:pPr>
        <w:jc w:val="both"/>
      </w:pPr>
    </w:p>
    <w:p w:rsidR="00860973" w:rsidRDefault="00860973" w:rsidP="00860973">
      <w:pPr>
        <w:jc w:val="both"/>
      </w:pPr>
      <w:r w:rsidRPr="00FF4FAF">
        <w:t>Przyjęte zasady (politykę) rachunkowości stosuje się w sposób ciągły, dokonując w kolejnych latach obrotowych jednakowego grupowania operacji gospodarczych, jednakowej wyceny aktywów, ustala się wynik finansowy i sporządza sprawozdanie finansowe tak, aby za kolejne lata informacje z nich wynikające były porównywalne.</w:t>
      </w:r>
    </w:p>
    <w:p w:rsidR="00860973" w:rsidRPr="00FF4FAF" w:rsidRDefault="00860973" w:rsidP="00860973">
      <w:pPr>
        <w:jc w:val="both"/>
      </w:pPr>
    </w:p>
    <w:p w:rsidR="00860973" w:rsidRDefault="00860973" w:rsidP="00860973">
      <w:pPr>
        <w:jc w:val="both"/>
      </w:pPr>
      <w:r w:rsidRPr="00FF4FAF">
        <w:t xml:space="preserve">Przyjęte zasady rachunkowości są zgodne z zapisami ustawy o rachunkowości oraz rozporządzenia </w:t>
      </w:r>
      <w:r>
        <w:t xml:space="preserve">      </w:t>
      </w:r>
      <w:r w:rsidRPr="00FF4FAF">
        <w:t>w sprawie rachunkowości oraz planów kont dla budżetu państwa, budżetów jednostek samorządu terytorialnego, jednostek budżetowych, samorządowych zakładów budżetowych, państwowych funduszy celowych oraz państwowych jednostek budżetowych mających siedzibę poza granicami Rzeczypospolitej Polskiej.</w:t>
      </w:r>
    </w:p>
    <w:p w:rsidR="00860973" w:rsidRDefault="00860973" w:rsidP="00860973">
      <w:pPr>
        <w:jc w:val="both"/>
      </w:pPr>
    </w:p>
    <w:p w:rsidR="00860973" w:rsidRDefault="00860973" w:rsidP="00860973">
      <w:pPr>
        <w:jc w:val="both"/>
        <w:rPr>
          <w:u w:val="single"/>
        </w:rPr>
      </w:pPr>
      <w:r w:rsidRPr="004C1D44">
        <w:rPr>
          <w:u w:val="single"/>
        </w:rPr>
        <w:t xml:space="preserve">Przyjęte zasady dokonywania odpisów amortyzacyjnych lub umorzeniowych od środków trwałych oraz wartości niematerialnych i prawnych (zastosowane metody i stawki): </w:t>
      </w:r>
    </w:p>
    <w:p w:rsidR="00860973" w:rsidRPr="004C1D44" w:rsidRDefault="00860973" w:rsidP="00860973">
      <w:pPr>
        <w:jc w:val="both"/>
        <w:rPr>
          <w:u w:val="single"/>
        </w:rPr>
      </w:pPr>
    </w:p>
    <w:p w:rsidR="00860973" w:rsidRDefault="00860973" w:rsidP="00860973">
      <w:pPr>
        <w:pStyle w:val="Tekstpodstawowy"/>
        <w:jc w:val="both"/>
      </w:pPr>
      <w:r>
        <w:t>1. Środki trwałe oraz wartości niematerialne i prawne umarza się i amortyzuje jednorazowo za okres całego roku, przy zastosowaniu stawek określonych w przepisach o podatku dochodowym od osób prawnych. Nowo przyjęte środki trwałe oraz wartości niematerialne i prawne umarza się oraz amortyzuje począwszy od następnego miesiąca po miesiącu, w którym przyjęto je do używania.</w:t>
      </w:r>
    </w:p>
    <w:p w:rsidR="00860973" w:rsidRDefault="00860973" w:rsidP="00860973">
      <w:pPr>
        <w:pStyle w:val="Tekstpodstawowy"/>
        <w:jc w:val="both"/>
      </w:pPr>
      <w:r>
        <w:t xml:space="preserve">2. Jednorazowo, przez spisanie w koszty w miesiącu przyjęcia do używania, umarza się: </w:t>
      </w:r>
    </w:p>
    <w:p w:rsidR="00860973" w:rsidRDefault="00860973" w:rsidP="00860973">
      <w:pPr>
        <w:pStyle w:val="Tekstpodstawowy"/>
        <w:jc w:val="both"/>
      </w:pPr>
      <w:r>
        <w:t>a)  książki i inne zbiory biblioteczne;</w:t>
      </w:r>
    </w:p>
    <w:p w:rsidR="00860973" w:rsidRDefault="00860973" w:rsidP="00860973">
      <w:pPr>
        <w:pStyle w:val="Tekstpodstawowy"/>
        <w:jc w:val="both"/>
      </w:pPr>
      <w:r>
        <w:t>b) środki dydaktyczne, w tym także środki transportu, służące do nauczania i wychowania;</w:t>
      </w:r>
    </w:p>
    <w:p w:rsidR="00860973" w:rsidRDefault="00860973" w:rsidP="00860973">
      <w:pPr>
        <w:pStyle w:val="Tekstpodstawowy"/>
        <w:jc w:val="both"/>
      </w:pPr>
      <w:r>
        <w:t>c)  odzież i umundurowanie;</w:t>
      </w:r>
    </w:p>
    <w:p w:rsidR="00860973" w:rsidRDefault="00860973" w:rsidP="00860973">
      <w:pPr>
        <w:pStyle w:val="Tekstpodstawowy"/>
        <w:jc w:val="both"/>
      </w:pPr>
      <w:r>
        <w:t>d)  meble i dywany;</w:t>
      </w:r>
    </w:p>
    <w:p w:rsidR="00860973" w:rsidRDefault="00860973" w:rsidP="00860973">
      <w:pPr>
        <w:pStyle w:val="Tekstpodstawowy"/>
        <w:jc w:val="both"/>
      </w:pPr>
      <w:r>
        <w:t>e)   pozostałe środki trwałe (wyposażenie) oraz wartości niematerialne i prawne, o wartości nieprzekraczającej wielkości ustalonej w przepisach o podatku dochodowym od osób prawnych, dla których odpisy amortyzacyjne są uznawane za koszt uzyskania przychodu w 100 % ich wartości            w momencie oddania  do używania.</w:t>
      </w:r>
    </w:p>
    <w:p w:rsidR="00860973" w:rsidRPr="004C1D44" w:rsidRDefault="00860973" w:rsidP="00860973">
      <w:pPr>
        <w:pStyle w:val="Tekstpodstawowy"/>
        <w:tabs>
          <w:tab w:val="left" w:pos="707"/>
        </w:tabs>
        <w:jc w:val="both"/>
      </w:pPr>
      <w:r>
        <w:t xml:space="preserve">3. Nie umarza się gruntów oraz dóbr kultury. </w:t>
      </w:r>
    </w:p>
    <w:p w:rsidR="00860973" w:rsidRDefault="00860973" w:rsidP="00860973">
      <w:pPr>
        <w:widowControl w:val="0"/>
        <w:autoSpaceDE w:val="0"/>
        <w:autoSpaceDN w:val="0"/>
        <w:jc w:val="both"/>
        <w:rPr>
          <w:rFonts w:eastAsia="Calibri"/>
          <w:u w:val="single"/>
        </w:rPr>
      </w:pPr>
      <w:r w:rsidRPr="004C1D44">
        <w:rPr>
          <w:rFonts w:eastAsia="Calibri"/>
          <w:u w:val="single"/>
        </w:rPr>
        <w:t>Przyjęte zasady wyceny aktywów i pasywów:</w:t>
      </w:r>
    </w:p>
    <w:p w:rsidR="00860973" w:rsidRPr="004C1D44" w:rsidRDefault="00860973" w:rsidP="00860973">
      <w:pPr>
        <w:widowControl w:val="0"/>
        <w:autoSpaceDE w:val="0"/>
        <w:autoSpaceDN w:val="0"/>
        <w:jc w:val="both"/>
        <w:rPr>
          <w:rFonts w:eastAsia="Calibri"/>
          <w:u w:val="single"/>
        </w:rPr>
      </w:pPr>
    </w:p>
    <w:p w:rsidR="00860973" w:rsidRPr="00FF4FAF" w:rsidRDefault="00860973" w:rsidP="00860973">
      <w:pPr>
        <w:widowControl w:val="0"/>
        <w:autoSpaceDE w:val="0"/>
        <w:autoSpaceDN w:val="0"/>
        <w:jc w:val="both"/>
        <w:rPr>
          <w:rFonts w:eastAsia="Calibri"/>
        </w:rPr>
      </w:pPr>
      <w:r w:rsidRPr="00FF4FAF">
        <w:rPr>
          <w:rFonts w:eastAsia="Calibri"/>
        </w:rPr>
        <w:t>- środki trwałe, wartości niematerialne i prawne, rzeczowe składniki aktywów obrotowych wycenia się według cen nabycia, kosztów wytworzenia,</w:t>
      </w:r>
    </w:p>
    <w:p w:rsidR="00860973" w:rsidRPr="00FF4FAF" w:rsidRDefault="00860973" w:rsidP="00860973">
      <w:pPr>
        <w:widowControl w:val="0"/>
        <w:autoSpaceDE w:val="0"/>
        <w:autoSpaceDN w:val="0"/>
        <w:jc w:val="both"/>
        <w:rPr>
          <w:rFonts w:eastAsia="Calibri"/>
        </w:rPr>
      </w:pPr>
      <w:r w:rsidRPr="00FF4FAF">
        <w:rPr>
          <w:rFonts w:eastAsia="Calibri"/>
        </w:rPr>
        <w:t xml:space="preserve">- środki trwałe w budowie (inwestycje) wycenia się w wysokości ogółu kosztów pozostających </w:t>
      </w:r>
      <w:r>
        <w:rPr>
          <w:rFonts w:eastAsia="Calibri"/>
        </w:rPr>
        <w:t xml:space="preserve">            </w:t>
      </w:r>
      <w:r w:rsidRPr="00FF4FAF">
        <w:rPr>
          <w:rFonts w:eastAsia="Calibri"/>
        </w:rPr>
        <w:t>w bezpośrednim związku z ich nabyciem lub wytworzeniem, pomniejszonych o odpisy z tytułu trwałej utraty wartości;</w:t>
      </w:r>
    </w:p>
    <w:p w:rsidR="00860973" w:rsidRDefault="00860973" w:rsidP="00860973">
      <w:pPr>
        <w:widowControl w:val="0"/>
        <w:autoSpaceDE w:val="0"/>
        <w:autoSpaceDN w:val="0"/>
        <w:jc w:val="both"/>
        <w:rPr>
          <w:rFonts w:eastAsia="Calibri"/>
        </w:rPr>
      </w:pPr>
      <w:r w:rsidRPr="00FF4FAF">
        <w:rPr>
          <w:rFonts w:eastAsia="Calibri"/>
        </w:rPr>
        <w:t xml:space="preserve">- należności i zobowiązania wycenia </w:t>
      </w:r>
      <w:r>
        <w:rPr>
          <w:rFonts w:eastAsia="Calibri"/>
        </w:rPr>
        <w:t>się w kwocie wymagalnej zapłaty;</w:t>
      </w:r>
    </w:p>
    <w:p w:rsidR="00860973" w:rsidRDefault="00860973" w:rsidP="00860973">
      <w:pPr>
        <w:widowControl w:val="0"/>
        <w:autoSpaceDE w:val="0"/>
        <w:autoSpaceDN w:val="0"/>
        <w:jc w:val="both"/>
        <w:rPr>
          <w:rFonts w:eastAsia="Calibri"/>
        </w:rPr>
      </w:pPr>
      <w:r>
        <w:rPr>
          <w:rFonts w:eastAsia="Calibri"/>
        </w:rPr>
        <w:t>- środki pieniężne oraz fundusze wycenia się według ich wartości nominalnej.</w:t>
      </w:r>
    </w:p>
    <w:p w:rsidR="00860973" w:rsidRDefault="00860973" w:rsidP="00860973">
      <w:pPr>
        <w:jc w:val="both"/>
      </w:pPr>
    </w:p>
    <w:p w:rsidR="00860973" w:rsidRDefault="00860973" w:rsidP="00860973">
      <w:pPr>
        <w:jc w:val="both"/>
      </w:pPr>
      <w:r>
        <w:t>Krośniewice, 2025.03.26.</w:t>
      </w:r>
    </w:p>
    <w:p w:rsidR="00860973" w:rsidRDefault="00860973" w:rsidP="00860973">
      <w:pPr>
        <w:jc w:val="both"/>
      </w:pPr>
    </w:p>
    <w:p w:rsidR="00860973" w:rsidRDefault="00860973" w:rsidP="00860973">
      <w:pPr>
        <w:jc w:val="both"/>
      </w:pPr>
      <w:r>
        <w:t>Główny księgowy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Kierownik jednostki</w:t>
      </w:r>
      <w:r>
        <w:tab/>
      </w:r>
      <w:r>
        <w:tab/>
      </w:r>
    </w:p>
    <w:p w:rsidR="00860973" w:rsidRDefault="00860973" w:rsidP="00860973">
      <w:pPr>
        <w:jc w:val="both"/>
      </w:pPr>
      <w:r>
        <w:tab/>
      </w:r>
    </w:p>
    <w:p w:rsidR="00860973" w:rsidRPr="00CF04EE" w:rsidRDefault="00860973" w:rsidP="00860973">
      <w:r w:rsidRPr="00CF04EE">
        <w:t>Małgorzata Kołodziejczak</w:t>
      </w:r>
      <w:r>
        <w:t xml:space="preserve">                                                                Agnieszka Bojanowska</w:t>
      </w:r>
    </w:p>
    <w:sectPr w:rsidR="00860973" w:rsidRPr="00CF04EE" w:rsidSect="00062D81">
      <w:pgSz w:w="11920" w:h="16840"/>
      <w:pgMar w:top="1361" w:right="919" w:bottom="1134" w:left="919" w:header="709" w:footer="709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860973"/>
    <w:rsid w:val="004810D8"/>
    <w:rsid w:val="00860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60973"/>
    <w:pPr>
      <w:widowControl w:val="0"/>
      <w:suppressAutoHyphens/>
      <w:spacing w:after="120"/>
    </w:pPr>
    <w:rPr>
      <w:rFonts w:eastAsia="Arial Unicode MS"/>
      <w:kern w:val="1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860973"/>
    <w:rPr>
      <w:rFonts w:ascii="Times New Roman" w:eastAsia="Arial Unicode MS" w:hAnsi="Times New Roman" w:cs="Times New Roman"/>
      <w:kern w:val="1"/>
      <w:sz w:val="24"/>
      <w:szCs w:val="24"/>
    </w:rPr>
  </w:style>
  <w:style w:type="table" w:styleId="Tabela-Siatka">
    <w:name w:val="Table Grid"/>
    <w:basedOn w:val="Standardowy"/>
    <w:uiPriority w:val="59"/>
    <w:rsid w:val="00860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1125</Words>
  <Characters>6753</Characters>
  <Application>Microsoft Office Word</Application>
  <DocSecurity>0</DocSecurity>
  <Lines>56</Lines>
  <Paragraphs>15</Paragraphs>
  <ScaleCrop>false</ScaleCrop>
  <Company/>
  <LinksUpToDate>false</LinksUpToDate>
  <CharactersWithSpaces>7863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Księgowość</dc:creator>
  <cp:lastModifiedBy>Księgowość</cp:lastModifiedBy>
  <cp:revision>1</cp:revision>
  <dcterms:created xsi:type="dcterms:W3CDTF">2025-05-08T08:15:00Z</dcterms:created>
  <dcterms:modified xsi:type="dcterms:W3CDTF">2025-05-08T08:16:00Z</dcterms:modified>
</cp:coreProperties>
</file>